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  <w:bookmarkStart w:id="0" w:name="_GoBack"/>
      <w:bookmarkEnd w:id="0"/>
    </w:p>
    <w:p w:rsidR="00D767A8" w:rsidRDefault="00D767A8" w:rsidP="00D767A8">
      <w:pPr>
        <w:pStyle w:val="StandardWeb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27939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512" y="21505"/>
                <wp:lineTo x="215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eck, 2004, Strukturmode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  <w:rPr>
          <w:i/>
          <w:iCs/>
        </w:rPr>
      </w:pPr>
    </w:p>
    <w:p w:rsidR="00D767A8" w:rsidRDefault="00D767A8" w:rsidP="00D767A8">
      <w:pPr>
        <w:pStyle w:val="StandardWeb"/>
      </w:pPr>
      <w:r>
        <w:rPr>
          <w:i/>
          <w:iCs/>
        </w:rPr>
        <w:t>Komponen</w:t>
      </w:r>
      <w:r>
        <w:rPr>
          <w:i/>
          <w:iCs/>
        </w:rPr>
        <w:t>ten der sportlichen Leistungsfä</w:t>
      </w:r>
      <w:r>
        <w:rPr>
          <w:i/>
          <w:iCs/>
        </w:rPr>
        <w:t xml:space="preserve">higkeit (mod. nach </w:t>
      </w:r>
      <w:proofErr w:type="spellStart"/>
      <w:r>
        <w:rPr>
          <w:i/>
          <w:iCs/>
        </w:rPr>
        <w:t>Weineck</w:t>
      </w:r>
      <w:proofErr w:type="spellEnd"/>
      <w:r>
        <w:rPr>
          <w:i/>
          <w:iCs/>
        </w:rPr>
        <w:t>, 2004, 17)</w:t>
      </w:r>
      <w:r>
        <w:t xml:space="preserve"> </w:t>
      </w:r>
    </w:p>
    <w:p w:rsidR="00D767A8" w:rsidRDefault="00D767A8" w:rsidP="00D767A8">
      <w:pPr>
        <w:pStyle w:val="StandardWeb"/>
      </w:pPr>
      <w:r>
        <w:rPr>
          <w:i/>
          <w:iCs/>
        </w:rPr>
        <w:t>Theoretische Grundlagen</w:t>
      </w:r>
      <w:r>
        <w:t xml:space="preserve"> 13 </w:t>
      </w:r>
    </w:p>
    <w:p w:rsidR="00175581" w:rsidRDefault="00D767A8"/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A8"/>
    <w:rsid w:val="001A049B"/>
    <w:rsid w:val="0024634F"/>
    <w:rsid w:val="003E305D"/>
    <w:rsid w:val="007A417B"/>
    <w:rsid w:val="009638F7"/>
    <w:rsid w:val="00D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2015-04-29T10:45:00Z</dcterms:created>
  <dcterms:modified xsi:type="dcterms:W3CDTF">2015-04-29T10:47:00Z</dcterms:modified>
</cp:coreProperties>
</file>